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5"/>
        <w:gridCol w:w="60"/>
      </w:tblGrid>
      <w:tr w:rsidR="000709A6" w:rsidRPr="000709A6" w:rsidTr="000709A6">
        <w:trPr>
          <w:tblCellSpacing w:w="0" w:type="dxa"/>
        </w:trPr>
        <w:tc>
          <w:tcPr>
            <w:tcW w:w="5000" w:type="pct"/>
            <w:hideMark/>
          </w:tcPr>
          <w:p w:rsidR="000709A6" w:rsidRPr="000709A6" w:rsidRDefault="000709A6" w:rsidP="000709A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0709A6">
              <w:rPr>
                <w:rFonts w:ascii="Tahoma" w:eastAsia="Times New Roman" w:hAnsi="Tahoma" w:cs="Tahoma"/>
                <w:color w:val="000000"/>
                <w:sz w:val="32"/>
                <w:szCs w:val="32"/>
                <w:lang w:eastAsia="ru-RU"/>
              </w:rPr>
              <w:t>Заявление Департамента общественных связей ФНПР</w:t>
            </w:r>
          </w:p>
        </w:tc>
        <w:tc>
          <w:tcPr>
            <w:tcW w:w="1920" w:type="dxa"/>
            <w:hideMark/>
          </w:tcPr>
          <w:p w:rsidR="000709A6" w:rsidRPr="000709A6" w:rsidRDefault="000709A6" w:rsidP="000709A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0709A6" w:rsidRPr="000709A6" w:rsidTr="000709A6">
        <w:trPr>
          <w:trHeight w:val="300"/>
          <w:tblCellSpacing w:w="0" w:type="dxa"/>
        </w:trPr>
        <w:tc>
          <w:tcPr>
            <w:tcW w:w="5000" w:type="pct"/>
            <w:vAlign w:val="center"/>
            <w:hideMark/>
          </w:tcPr>
          <w:p w:rsidR="000709A6" w:rsidRPr="000709A6" w:rsidRDefault="000709A6" w:rsidP="000709A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0709A6">
              <w:rPr>
                <w:rFonts w:ascii="Verdana" w:eastAsia="Times New Roman" w:hAnsi="Verdana" w:cs="Times New Roman"/>
                <w:b/>
                <w:bCs/>
                <w:color w:val="788BA0"/>
                <w:sz w:val="15"/>
                <w:szCs w:val="15"/>
                <w:lang w:eastAsia="ru-RU"/>
              </w:rPr>
              <w:t>06.04.2016</w:t>
            </w:r>
          </w:p>
        </w:tc>
        <w:tc>
          <w:tcPr>
            <w:tcW w:w="1920" w:type="dxa"/>
            <w:vAlign w:val="center"/>
            <w:hideMark/>
          </w:tcPr>
          <w:p w:rsidR="000709A6" w:rsidRPr="000709A6" w:rsidRDefault="000709A6" w:rsidP="000709A6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0709A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  <w:tr w:rsidR="000709A6" w:rsidRPr="000709A6" w:rsidTr="000709A6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0709A6" w:rsidRPr="000709A6" w:rsidRDefault="000709A6" w:rsidP="000709A6">
            <w:pPr>
              <w:spacing w:before="100" w:beforeAutospacing="1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252D33"/>
                <w:sz w:val="17"/>
                <w:szCs w:val="17"/>
                <w:lang w:eastAsia="ru-RU"/>
              </w:rPr>
            </w:pPr>
            <w:r w:rsidRPr="000709A6">
              <w:rPr>
                <w:rFonts w:ascii="Verdana" w:eastAsia="Times New Roman" w:hAnsi="Verdana" w:cs="Times New Roman"/>
                <w:b/>
                <w:bCs/>
                <w:color w:val="252D33"/>
                <w:sz w:val="17"/>
                <w:szCs w:val="17"/>
                <w:lang w:eastAsia="ru-RU"/>
              </w:rPr>
              <w:t>Заявление</w:t>
            </w:r>
          </w:p>
          <w:p w:rsidR="000709A6" w:rsidRPr="000709A6" w:rsidRDefault="000709A6" w:rsidP="000709A6">
            <w:pPr>
              <w:spacing w:before="100" w:beforeAutospacing="1" w:after="100" w:afterAutospacing="1" w:line="210" w:lineRule="atLeast"/>
              <w:jc w:val="center"/>
              <w:rPr>
                <w:rFonts w:ascii="Verdana" w:eastAsia="Times New Roman" w:hAnsi="Verdana" w:cs="Times New Roman"/>
                <w:color w:val="252D33"/>
                <w:sz w:val="17"/>
                <w:szCs w:val="17"/>
                <w:lang w:eastAsia="ru-RU"/>
              </w:rPr>
            </w:pPr>
            <w:r w:rsidRPr="000709A6">
              <w:rPr>
                <w:rFonts w:ascii="Verdana" w:eastAsia="Times New Roman" w:hAnsi="Verdana" w:cs="Times New Roman"/>
                <w:b/>
                <w:bCs/>
                <w:color w:val="252D33"/>
                <w:sz w:val="17"/>
                <w:szCs w:val="17"/>
                <w:lang w:eastAsia="ru-RU"/>
              </w:rPr>
              <w:t>Департамента общественных связей ФНПР</w:t>
            </w:r>
          </w:p>
          <w:p w:rsidR="000709A6" w:rsidRPr="000709A6" w:rsidRDefault="000709A6" w:rsidP="000709A6">
            <w:pPr>
              <w:spacing w:before="100" w:beforeAutospacing="1" w:after="100" w:afterAutospacing="1" w:line="210" w:lineRule="atLeast"/>
              <w:rPr>
                <w:rFonts w:ascii="Verdana" w:eastAsia="Times New Roman" w:hAnsi="Verdana" w:cs="Times New Roman"/>
                <w:color w:val="252D33"/>
                <w:sz w:val="17"/>
                <w:szCs w:val="17"/>
                <w:lang w:eastAsia="ru-RU"/>
              </w:rPr>
            </w:pPr>
            <w:r w:rsidRPr="000709A6">
              <w:rPr>
                <w:rFonts w:ascii="Verdana" w:eastAsia="Times New Roman" w:hAnsi="Verdana" w:cs="Times New Roman"/>
                <w:color w:val="252D33"/>
                <w:sz w:val="17"/>
                <w:szCs w:val="17"/>
                <w:lang w:eastAsia="ru-RU"/>
              </w:rPr>
              <w:t>6 апреля на заседании Правительства РФ, посвященном законопроектам об изменении формы администрирования сбора социальных взносов, из уст представителей правительства прозвучали заявления о том, что данный вопрос не относится к проблеме социально-трудовых отношений.</w:t>
            </w:r>
          </w:p>
          <w:p w:rsidR="000709A6" w:rsidRPr="000709A6" w:rsidRDefault="000709A6" w:rsidP="000709A6">
            <w:pPr>
              <w:spacing w:before="100" w:beforeAutospacing="1" w:after="100" w:afterAutospacing="1" w:line="210" w:lineRule="atLeast"/>
              <w:rPr>
                <w:rFonts w:ascii="Verdana" w:eastAsia="Times New Roman" w:hAnsi="Verdana" w:cs="Times New Roman"/>
                <w:color w:val="252D33"/>
                <w:sz w:val="17"/>
                <w:szCs w:val="17"/>
                <w:lang w:eastAsia="ru-RU"/>
              </w:rPr>
            </w:pPr>
            <w:r w:rsidRPr="000709A6">
              <w:rPr>
                <w:rFonts w:ascii="Verdana" w:eastAsia="Times New Roman" w:hAnsi="Verdana" w:cs="Times New Roman"/>
                <w:color w:val="252D33"/>
                <w:sz w:val="17"/>
                <w:szCs w:val="17"/>
                <w:lang w:eastAsia="ru-RU"/>
              </w:rPr>
              <w:t>Российские профсоюзы считают, что заявления подобного рода не только демонстрируют уровень некомпетентности чиновников, но и работают на разжигание социальной розни в обществе. Кроме того, передача администрирования налоговой службе приведет к разрушению системы социального страхования и нарушению прав застрахованных граждан. </w:t>
            </w:r>
          </w:p>
        </w:tc>
      </w:tr>
    </w:tbl>
    <w:p w:rsidR="001511EA" w:rsidRDefault="001511EA">
      <w:bookmarkStart w:id="0" w:name="_GoBack"/>
      <w:bookmarkEnd w:id="0"/>
    </w:p>
    <w:sectPr w:rsidR="00151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9A6"/>
    <w:rsid w:val="000709A6"/>
    <w:rsid w:val="0015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D4542-2A51-429D-A548-0C2F17DA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1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2016-04-11T03:46:00Z</dcterms:created>
  <dcterms:modified xsi:type="dcterms:W3CDTF">2016-04-11T03:51:00Z</dcterms:modified>
</cp:coreProperties>
</file>